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F67E9">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bookmarkStart w:id="0" w:name="_Toc17548"/>
      <w:bookmarkStart w:id="1" w:name="_Toc14491"/>
      <w:bookmarkStart w:id="2" w:name="_Toc1730"/>
      <w:bookmarkStart w:id="3" w:name="_Toc24338"/>
      <w:bookmarkStart w:id="4" w:name="_Toc22310"/>
      <w:bookmarkStart w:id="5" w:name="_Toc17665"/>
      <w:bookmarkStart w:id="6" w:name="_Toc3422"/>
      <w:r>
        <w:rPr>
          <w:rFonts w:hint="default" w:ascii="Times New Roman" w:hAnsi="Times New Roman" w:eastAsia="仿宋_GB2312" w:cs="Times New Roman"/>
          <w:b w:val="0"/>
          <w:bCs w:val="0"/>
          <w:sz w:val="30"/>
          <w:szCs w:val="30"/>
        </w:rPr>
        <w:t>附件</w:t>
      </w:r>
      <w:bookmarkEnd w:id="0"/>
      <w:bookmarkEnd w:id="1"/>
      <w:bookmarkEnd w:id="2"/>
      <w:bookmarkEnd w:id="3"/>
      <w:bookmarkEnd w:id="4"/>
      <w:bookmarkEnd w:id="5"/>
      <w:bookmarkEnd w:id="6"/>
      <w:r>
        <w:rPr>
          <w:rFonts w:hint="default" w:ascii="Times New Roman" w:hAnsi="Times New Roman" w:eastAsia="仿宋_GB2312" w:cs="Times New Roman"/>
          <w:b w:val="0"/>
          <w:bCs w:val="0"/>
          <w:sz w:val="30"/>
          <w:szCs w:val="30"/>
          <w:lang w:val="en-US" w:eastAsia="zh-CN"/>
        </w:rPr>
        <w:t>3</w:t>
      </w:r>
    </w:p>
    <w:p w14:paraId="22B821CC">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p>
    <w:p w14:paraId="675C7ED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7</w:t>
      </w:r>
      <w:r>
        <w:rPr>
          <w:rFonts w:hint="default" w:ascii="Times New Roman" w:hAnsi="Times New Roman" w:eastAsia="方正小标宋简体" w:cs="Times New Roman"/>
          <w:b w:val="0"/>
          <w:bCs w:val="0"/>
          <w:sz w:val="44"/>
          <w:szCs w:val="44"/>
        </w:rPr>
        <w:t>学年第</w:t>
      </w:r>
      <w:r>
        <w:rPr>
          <w:rFonts w:hint="eastAsia" w:ascii="Times New Roman" w:hAnsi="Times New Roman" w:eastAsia="方正小标宋简体" w:cs="Times New Roman"/>
          <w:b w:val="0"/>
          <w:bCs w:val="0"/>
          <w:sz w:val="44"/>
          <w:szCs w:val="44"/>
          <w:lang w:val="en-US" w:eastAsia="zh-CN"/>
        </w:rPr>
        <w:t>一</w:t>
      </w:r>
      <w:r>
        <w:rPr>
          <w:rFonts w:hint="default" w:ascii="Times New Roman" w:hAnsi="Times New Roman" w:eastAsia="方正小标宋简体" w:cs="Times New Roman"/>
          <w:b w:val="0"/>
          <w:bCs w:val="0"/>
          <w:sz w:val="44"/>
          <w:szCs w:val="44"/>
        </w:rPr>
        <w:t>学期团支部</w:t>
      </w:r>
      <w:r>
        <w:rPr>
          <w:rFonts w:hint="eastAsia" w:ascii="Times New Roman" w:hAnsi="Times New Roman" w:eastAsia="方正小标宋简体" w:cs="Times New Roman"/>
          <w:b w:val="0"/>
          <w:bCs w:val="0"/>
          <w:sz w:val="44"/>
          <w:szCs w:val="44"/>
          <w:lang w:val="en-US" w:eastAsia="zh-CN"/>
        </w:rPr>
        <w:t>重点</w:t>
      </w:r>
      <w:r>
        <w:rPr>
          <w:rFonts w:hint="default" w:ascii="Times New Roman" w:hAnsi="Times New Roman" w:eastAsia="方正小标宋简体" w:cs="Times New Roman"/>
          <w:b w:val="0"/>
          <w:bCs w:val="0"/>
          <w:sz w:val="44"/>
          <w:szCs w:val="44"/>
        </w:rPr>
        <w:t>主题</w:t>
      </w:r>
    </w:p>
    <w:p w14:paraId="37E23CD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团日活动</w:t>
      </w:r>
      <w:r>
        <w:rPr>
          <w:rFonts w:hint="eastAsia" w:ascii="Times New Roman" w:hAnsi="Times New Roman" w:eastAsia="方正小标宋简体" w:cs="Times New Roman"/>
          <w:b w:val="0"/>
          <w:bCs w:val="0"/>
          <w:sz w:val="44"/>
          <w:szCs w:val="44"/>
          <w:lang w:val="en-US" w:eastAsia="zh-CN"/>
        </w:rPr>
        <w:t>评审细则</w:t>
      </w:r>
    </w:p>
    <w:p w14:paraId="1447A7C2">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p>
    <w:p w14:paraId="732BE09B">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规范管理、提升实效，原则上仅对达到质量要求的重点主题团日活动给予经费支持，常规主题团日活动不予经费支持。其中，对有经费申请的重点主题团日活动进行分类评审，评审后按得分由高到低划分为四类：</w:t>
      </w:r>
    </w:p>
    <w:p w14:paraId="38E13004">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第一类活动最高可支持1200元活动经费；第二类活动最高可支持900元活动经费；第三类活动最高可支持600元活动经费；第四类活动不予经费支持。</w:t>
      </w:r>
    </w:p>
    <w:p w14:paraId="415CA13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支持金额实行“就低不就高”原则，即按团支部申请额度与其所在类别经费上限两者中的较低者予以支持。若多个团支部联合举办活动，其可获得的经费总额，按上述规则核定单个支部应得金额的双倍予以支持。</w:t>
      </w:r>
    </w:p>
    <w:p w14:paraId="1B89AAC3">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一、主题契合度（40分）</w:t>
      </w:r>
    </w:p>
    <w:p w14:paraId="622263DB">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val="0"/>
          <w:bCs w:val="0"/>
          <w:sz w:val="32"/>
          <w:szCs w:val="32"/>
          <w:lang w:val="en-US" w:eastAsia="zh-CN"/>
        </w:rPr>
        <w:t>本项主要评估</w:t>
      </w:r>
      <w:r>
        <w:rPr>
          <w:rFonts w:hint="default" w:ascii="Times New Roman" w:hAnsi="Times New Roman" w:eastAsia="仿宋_GB2312" w:cs="Times New Roman"/>
          <w:b/>
          <w:bCs/>
          <w:sz w:val="32"/>
          <w:szCs w:val="32"/>
          <w:lang w:val="en-US" w:eastAsia="zh-CN"/>
        </w:rPr>
        <w:t>活动主题与核心思想的贴合深度及价值引领作用。</w:t>
      </w:r>
    </w:p>
    <w:p w14:paraId="6427901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6908A1B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bCs/>
          <w:sz w:val="32"/>
          <w:szCs w:val="32"/>
          <w:lang w:val="en-US" w:eastAsia="zh-CN"/>
        </w:rPr>
        <w:t>主题鲜明性</w:t>
      </w:r>
      <w:r>
        <w:rPr>
          <w:rFonts w:hint="default" w:ascii="Times New Roman" w:hAnsi="Times New Roman" w:eastAsia="仿宋_GB2312" w:cs="Times New Roman"/>
          <w:b w:val="0"/>
          <w:bCs w:val="0"/>
          <w:sz w:val="32"/>
          <w:szCs w:val="32"/>
          <w:lang w:val="en-US" w:eastAsia="zh-CN"/>
        </w:rPr>
        <w:t>：活动需紧扣“纪念中国工农红军长征胜利90周年——赓续长征血脉 青春勇担使命”主题，内容设计紧密围绕长征精神的历史内涵与时代价值展开。</w:t>
      </w:r>
    </w:p>
    <w:p w14:paraId="73007BD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bCs/>
          <w:sz w:val="32"/>
          <w:szCs w:val="32"/>
          <w:lang w:val="en-US" w:eastAsia="zh-CN"/>
        </w:rPr>
        <w:t>价值导向性</w:t>
      </w:r>
      <w:r>
        <w:rPr>
          <w:rFonts w:hint="default" w:ascii="Times New Roman" w:hAnsi="Times New Roman" w:eastAsia="仿宋_GB2312" w:cs="Times New Roman"/>
          <w:b w:val="0"/>
          <w:bCs w:val="0"/>
          <w:sz w:val="32"/>
          <w:szCs w:val="32"/>
          <w:lang w:val="en-US" w:eastAsia="zh-CN"/>
        </w:rPr>
        <w:t>：活动具有鲜明的时代特色和深刻的教育意义，能够精准聚焦团员青年的思想引领，有效回应其成长发展需求，引导青年坚定理想信念。</w:t>
      </w:r>
    </w:p>
    <w:p w14:paraId="4371259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bCs/>
          <w:sz w:val="32"/>
          <w:szCs w:val="32"/>
          <w:lang w:val="en-US" w:eastAsia="zh-CN"/>
        </w:rPr>
        <w:t>内涵契合度</w:t>
      </w:r>
      <w:r>
        <w:rPr>
          <w:rFonts w:hint="default" w:ascii="Times New Roman" w:hAnsi="Times New Roman" w:eastAsia="仿宋_GB2312" w:cs="Times New Roman"/>
          <w:b w:val="0"/>
          <w:bCs w:val="0"/>
          <w:sz w:val="32"/>
          <w:szCs w:val="32"/>
          <w:lang w:val="en-US" w:eastAsia="zh-CN"/>
        </w:rPr>
        <w:t>：活动对长征精神的挖掘深入、解读准确，能够通过具体内容展现“赓续血脉”与“担当使命”的有机统一。</w:t>
      </w:r>
    </w:p>
    <w:p w14:paraId="3C97B5E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二、形式创新度（30分）</w:t>
      </w:r>
    </w:p>
    <w:p w14:paraId="3728AE2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本项主要评估活动载体的新颖性、内容设计的巧妙性以及思想内涵的展现深度。</w:t>
      </w:r>
    </w:p>
    <w:p w14:paraId="23743BF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7568FD87">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bCs/>
          <w:sz w:val="32"/>
          <w:szCs w:val="32"/>
          <w:lang w:val="en-US" w:eastAsia="zh-CN"/>
        </w:rPr>
        <w:t>载体创新性</w:t>
      </w:r>
      <w:r>
        <w:rPr>
          <w:rFonts w:hint="default" w:ascii="Times New Roman" w:hAnsi="Times New Roman" w:eastAsia="仿宋_GB2312" w:cs="Times New Roman"/>
          <w:b w:val="0"/>
          <w:bCs w:val="0"/>
          <w:sz w:val="32"/>
          <w:szCs w:val="32"/>
          <w:lang w:val="en-US" w:eastAsia="zh-CN"/>
        </w:rPr>
        <w:t>：活动形式新颖独特，不拘泥于传统模式，善于运用多元化的载体（如沉浸式体验、跨学科融合等）吸引青年参与，增强活动的吸引力与感染力。</w:t>
      </w:r>
    </w:p>
    <w:p w14:paraId="4F9EA73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bCs/>
          <w:sz w:val="32"/>
          <w:szCs w:val="32"/>
          <w:lang w:val="en-US" w:eastAsia="zh-CN"/>
        </w:rPr>
        <w:t>内容</w:t>
      </w:r>
      <w:r>
        <w:rPr>
          <w:rFonts w:hint="eastAsia" w:ascii="Times New Roman" w:hAnsi="Times New Roman" w:eastAsia="仿宋_GB2312" w:cs="Times New Roman"/>
          <w:b/>
          <w:bCs/>
          <w:sz w:val="32"/>
          <w:szCs w:val="32"/>
          <w:lang w:val="en-US" w:eastAsia="zh-CN"/>
        </w:rPr>
        <w:t>丰富性</w:t>
      </w:r>
      <w:r>
        <w:rPr>
          <w:rFonts w:hint="default" w:ascii="Times New Roman" w:hAnsi="Times New Roman" w:eastAsia="仿宋_GB2312" w:cs="Times New Roman"/>
          <w:b w:val="0"/>
          <w:bCs w:val="0"/>
          <w:sz w:val="32"/>
          <w:szCs w:val="32"/>
          <w:lang w:val="en-US" w:eastAsia="zh-CN"/>
        </w:rPr>
        <w:t>：活动流程设计巧妙，逻辑清晰，富有节奏感，能从历史回溯、现实观照、未来展望等多角度、多层次深入挖掘主题。</w:t>
      </w:r>
    </w:p>
    <w:p w14:paraId="0CDC21D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bCs/>
          <w:sz w:val="32"/>
          <w:szCs w:val="32"/>
          <w:lang w:val="en-US" w:eastAsia="zh-CN"/>
        </w:rPr>
        <w:t>视角独特性</w:t>
      </w:r>
      <w:r>
        <w:rPr>
          <w:rFonts w:hint="default" w:ascii="Times New Roman" w:hAnsi="Times New Roman" w:eastAsia="仿宋_GB2312" w:cs="Times New Roman"/>
          <w:b w:val="0"/>
          <w:bCs w:val="0"/>
          <w:sz w:val="32"/>
          <w:szCs w:val="32"/>
          <w:lang w:val="en-US" w:eastAsia="zh-CN"/>
        </w:rPr>
        <w:t>：能够展现支部对主题的独特理解和思考，以小见大，见微知著，避免同质化与表面化，使活动具有启发性与记忆点。</w:t>
      </w:r>
    </w:p>
    <w:p w14:paraId="02FDD4E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三、可行性与实践意义（30分）</w:t>
      </w:r>
    </w:p>
    <w:p w14:paraId="0A8CD4B9">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本项主要评估方案的落地保障及其对团员青年成长的现实促进作用。</w:t>
      </w:r>
    </w:p>
    <w:p w14:paraId="789A7EB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5FD96C5F">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bCs/>
          <w:sz w:val="32"/>
          <w:szCs w:val="32"/>
          <w:lang w:val="en-US" w:eastAsia="zh-CN"/>
        </w:rPr>
        <w:t>方案可行性</w:t>
      </w:r>
      <w:r>
        <w:rPr>
          <w:rFonts w:hint="default" w:ascii="Times New Roman" w:hAnsi="Times New Roman" w:eastAsia="仿宋_GB2312" w:cs="Times New Roman"/>
          <w:b w:val="0"/>
          <w:bCs w:val="0"/>
          <w:sz w:val="32"/>
          <w:szCs w:val="32"/>
          <w:lang w:val="en-US" w:eastAsia="zh-CN"/>
        </w:rPr>
        <w:t>：策划方案务实周密，充分考虑了活动所需的资源（经费、物资）、时间安排、场地协调及人员组织等客观因素，具备清晰的执行路径和风险预案，确保活动能够安全、有序、高效地落地实施。</w:t>
      </w:r>
    </w:p>
    <w:p w14:paraId="527432CE">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bookmarkStart w:id="7" w:name="_GoBack"/>
      <w:r>
        <w:rPr>
          <w:rFonts w:hint="eastAsia" w:ascii="Times New Roman" w:hAnsi="Times New Roman" w:eastAsia="仿宋_GB2312" w:cs="Times New Roman"/>
          <w:b/>
          <w:bCs/>
          <w:sz w:val="32"/>
          <w:szCs w:val="32"/>
          <w:lang w:val="en-US" w:eastAsia="zh-CN"/>
        </w:rPr>
        <w:t>实践育人成效</w:t>
      </w:r>
      <w:bookmarkEnd w:id="7"/>
      <w:r>
        <w:rPr>
          <w:rFonts w:hint="default" w:ascii="Times New Roman" w:hAnsi="Times New Roman" w:eastAsia="仿宋_GB2312" w:cs="Times New Roman"/>
          <w:b w:val="0"/>
          <w:bCs w:val="0"/>
          <w:sz w:val="32"/>
          <w:szCs w:val="32"/>
          <w:lang w:val="en-US" w:eastAsia="zh-CN"/>
        </w:rPr>
        <w:t>：活动</w:t>
      </w:r>
      <w:r>
        <w:rPr>
          <w:rFonts w:hint="eastAsia" w:ascii="Times New Roman" w:hAnsi="Times New Roman" w:eastAsia="仿宋_GB2312" w:cs="Times New Roman"/>
          <w:b w:val="0"/>
          <w:bCs w:val="0"/>
          <w:sz w:val="32"/>
          <w:szCs w:val="32"/>
          <w:lang w:val="en-US" w:eastAsia="zh-CN"/>
        </w:rPr>
        <w:t>可以</w:t>
      </w:r>
      <w:r>
        <w:rPr>
          <w:rFonts w:hint="default" w:ascii="Times New Roman" w:hAnsi="Times New Roman" w:eastAsia="仿宋_GB2312" w:cs="Times New Roman"/>
          <w:b w:val="0"/>
          <w:bCs w:val="0"/>
          <w:sz w:val="32"/>
          <w:szCs w:val="32"/>
          <w:lang w:val="en-US" w:eastAsia="zh-CN"/>
        </w:rPr>
        <w:t>提升团员青年的综合素质，包括但不限于团队协作能力、解决问题能力、社会观察能力及创新精神</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w:t>
      </w:r>
    </w:p>
    <w:p w14:paraId="7F11519C">
      <w:pPr>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Helvetica Neue">
    <w:altName w:val="Times New Roman"/>
    <w:panose1 w:val="02000503000000020004"/>
    <w:charset w:val="00"/>
    <w:family w:val="auto"/>
    <w:pitch w:val="default"/>
    <w:sig w:usb0="00000000" w:usb1="00000000" w:usb2="00000010" w:usb3="00000000" w:csb0="00000000" w:csb1="00000000"/>
  </w:font>
  <w:font w:name="汉仪书宋二KW">
    <w:altName w:val="书宋-简"/>
    <w:panose1 w:val="00020600040101010101"/>
    <w:charset w:val="86"/>
    <w:family w:val="auto"/>
    <w:pitch w:val="default"/>
    <w:sig w:usb0="00000000" w:usb1="00000000" w:usb2="00000016" w:usb3="00000000" w:csb0="00040000" w:csb1="00000000"/>
  </w:font>
  <w:font w:name="仿宋_GB2312">
    <w:altName w:val="仿宋-简"/>
    <w:panose1 w:val="02010609030101010101"/>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方正小标宋简体">
    <w:altName w:val="方正小标宋_GBK"/>
    <w:panose1 w:val="0201060001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黑体-简">
    <w:panose1 w:val="02010609060101010101"/>
    <w:charset w:val="86"/>
    <w:family w:val="auto"/>
    <w:pitch w:val="default"/>
    <w:sig w:usb0="A00002BF" w:usb1="3ACF7CFA" w:usb2="00000016" w:usb3="00000000" w:csb0="00040001" w:csb1="00000000"/>
  </w:font>
  <w:font w:name="汉仪中黑KW">
    <w:altName w:val="黑体-简"/>
    <w:panose1 w:val="00020600040101010101"/>
    <w:charset w:val="86"/>
    <w:family w:val="auto"/>
    <w:pitch w:val="default"/>
    <w:sig w:usb0="00000000" w:usb1="00000000" w:usb2="00000016" w:usb3="00000000" w:csb0="00040000" w:csb1="00000000"/>
  </w:font>
  <w:font w:name="FT AeroSans">
    <w:panose1 w:val="020B0504030202020204"/>
    <w:charset w:val="00"/>
    <w:family w:val="auto"/>
    <w:pitch w:val="default"/>
    <w:sig w:usb0="0000028F" w:usb1="00000000" w:usb2="00000000" w:usb3="00000000" w:csb0="0000011F" w:csb1="0703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D893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D0F89"/>
    <w:rsid w:val="22005147"/>
    <w:rsid w:val="28150269"/>
    <w:rsid w:val="2B1B67C3"/>
    <w:rsid w:val="2C1A7CE4"/>
    <w:rsid w:val="2F7C70B8"/>
    <w:rsid w:val="388F532B"/>
    <w:rsid w:val="3CB90837"/>
    <w:rsid w:val="43B753A5"/>
    <w:rsid w:val="457309C3"/>
    <w:rsid w:val="48306B2B"/>
    <w:rsid w:val="486029A2"/>
    <w:rsid w:val="4ABB6C7E"/>
    <w:rsid w:val="4AF1555E"/>
    <w:rsid w:val="54F621D1"/>
    <w:rsid w:val="578B1008"/>
    <w:rsid w:val="5C1B3D44"/>
    <w:rsid w:val="5D256EC2"/>
    <w:rsid w:val="6A4271C6"/>
    <w:rsid w:val="6FE5C666"/>
    <w:rsid w:val="714F01C0"/>
    <w:rsid w:val="7AC51C49"/>
    <w:rsid w:val="7B0D0E08"/>
    <w:rsid w:val="7CFA5BBD"/>
    <w:rsid w:val="DF3B7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2c81aaaf-e552-4c64-9ad2-57e75c524675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B52E5EC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d2d567be-5f82-4844-8816-7f385bb6d82e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B52E5EC</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6957ce33-7566-48ee-8018-49b27c07bdf8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B52E5EC</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161464ce-ba69-4410-a918-9a6bfdd4eb77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B52E5EC</paraID>
      <start xmlns="http://schemas.wps.cn/vas-ai-hub/contract-review">113</start>
      <end xmlns="http://schemas.wps.cn/vas-ai-hub/contract-review">114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305df386-d36a-4ea2-95a8-e980094c0878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74EED7D6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8f6aaca3-b0fd-4c99-891d-863c26a90060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2CA844A0</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7d53fd95-9d43-4e86-9821-e33ee8afce54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1733C897</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5909285c-61aa-4f36-9732-a4204ab11daf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26E1EDA8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fe4487fc-37b9-4ad0-8793-720a360627ba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527432CE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134626a2-939d-4467-8475-6fef47408571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229B8092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bf6b12-2fae-4c2e-a61b-5e2a942f961c}">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1031</Words>
  <Characters>1059</Characters>
  <Lines>0</Lines>
  <Paragraphs>0</Paragraphs>
  <TotalTime>33</TotalTime>
  <ScaleCrop>false</ScaleCrop>
  <LinksUpToDate>false</LinksUpToDate>
  <CharactersWithSpaces>1060</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校团委</dc:creator>
  <cp:lastModifiedBy>陈宇浩</cp:lastModifiedBy>
  <cp:lastPrinted>2025-09-27T11:43:00Z</cp:lastPrinted>
  <dcterms:modified xsi:type="dcterms:W3CDTF">2026-09-17T14:54:47Z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KSOTemplateDocerSaveRecord">
    <vt:lpwstr>eyJoZGlkIjoiMDVkODY5ZjFhYzMwZDA4MmQ0YWI2OGFiNzA4ZTkxOTEiLCJ1c2VySWQiOiIzMzY0MTQ4MzUifQ==</vt:lpwstr>
  </property>
  <property fmtid="{D5CDD505-2E9C-101B-9397-08002B2CF9AE}" pid="4" name="ICV">
    <vt:lpwstr>19FF38D0CDEB42AABE30BBF233C10CCF_12</vt:lpwstr>
  </property>
</Properties>
</file>